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Jokkmokk kommunfullmäktige</w:t>
      </w:r>
    </w:p>
    <w:p>
      <w:pPr>
        <w:pStyle w:val="Heading1"/>
      </w:pPr>
      <w:r>
        <w:t xml:space="preserve">Utveckla hållbar turism kring Jokkmokks marknad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Jokkmokk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Jokkmokks marknad lockar över 50 000 besökare årligen men saknar långsiktig strategi för året-runt-turism. Potential finns i natur- och kulturturism som kompletterar gruvnäringen.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Jokkmokk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strategi för hållbar besöksnäring antas senast 2027 med fokus på samekultur och natur.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avsätter 1,5 mnkr årligen för marknadsföring och evenemang.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Visit Sweden och lokala producenter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mätbara mål för antal gästnätter sätts upp och följs upp årligen.</w:t>
      </w:r>
    </w:p>
    <w:p>
      <w:pPr>
        <w:spacing w:before="360"/>
      </w:pPr>
    </w:p>
    <w:p>
      <w:r>
        <w:t xml:space="preserve">Jokkmokk,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Jokkmokk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2026-07-14T00:20:47.947Z</dcterms:created>
  <dcterms:modified xsi:type="dcterms:W3CDTF">2026-07-14T00:20:47.947Z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